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F6D5" w14:textId="77777777" w:rsidR="00A63E98" w:rsidRPr="00A63E98" w:rsidRDefault="00A63E98" w:rsidP="00A63E98">
      <w:pPr>
        <w:suppressAutoHyphens/>
        <w:overflowPunct w:val="0"/>
        <w:autoSpaceDE w:val="0"/>
        <w:spacing w:after="0" w:line="240" w:lineRule="auto"/>
        <w:jc w:val="center"/>
        <w:rPr>
          <w:rFonts w:ascii="Book Antiqua" w:eastAsia="Times New Roman" w:hAnsi="Book Antiqua" w:cs="Courier New"/>
          <w:b/>
          <w:sz w:val="24"/>
          <w:szCs w:val="24"/>
          <w:lang w:eastAsia="ar-SA"/>
        </w:rPr>
      </w:pPr>
      <w:r w:rsidRPr="00A63E98">
        <w:rPr>
          <w:rFonts w:ascii="Book Antiqua" w:eastAsia="Times New Roman" w:hAnsi="Book Antiqua" w:cs="Courier New"/>
          <w:b/>
          <w:sz w:val="24"/>
          <w:szCs w:val="24"/>
          <w:lang w:eastAsia="ar-SA"/>
        </w:rPr>
        <w:t>PROCES-VERBAL DE LA RÉUNION DU 6 FEVRIER 2025</w:t>
      </w:r>
    </w:p>
    <w:p w14:paraId="07841C2E" w14:textId="77777777" w:rsidR="00A63E98" w:rsidRPr="00A63E98" w:rsidRDefault="00A63E98" w:rsidP="00A63E98">
      <w:pPr>
        <w:suppressAutoHyphens/>
        <w:overflowPunct w:val="0"/>
        <w:autoSpaceDE w:val="0"/>
        <w:spacing w:after="0" w:line="240" w:lineRule="auto"/>
        <w:jc w:val="center"/>
        <w:rPr>
          <w:rFonts w:ascii="Book Antiqua" w:eastAsia="Times New Roman" w:hAnsi="Book Antiqua" w:cs="Courier New"/>
          <w:b/>
          <w:sz w:val="24"/>
          <w:szCs w:val="24"/>
          <w:lang w:eastAsia="ar-SA"/>
        </w:rPr>
      </w:pPr>
    </w:p>
    <w:p w14:paraId="7239C708" w14:textId="77777777" w:rsidR="00A63E98" w:rsidRPr="00A63E98" w:rsidRDefault="00A63E98" w:rsidP="00A63E98">
      <w:pPr>
        <w:spacing w:after="0" w:line="240" w:lineRule="auto"/>
        <w:rPr>
          <w:rFonts w:ascii="Book Antiqua" w:hAnsi="Book Antiqua"/>
          <w:sz w:val="24"/>
          <w:szCs w:val="24"/>
        </w:rPr>
      </w:pPr>
    </w:p>
    <w:p w14:paraId="2D957232" w14:textId="77777777" w:rsidR="00A63E98" w:rsidRPr="00A63E98" w:rsidRDefault="00A63E98" w:rsidP="00A63E98">
      <w:pPr>
        <w:spacing w:after="0" w:line="240" w:lineRule="auto"/>
        <w:rPr>
          <w:rFonts w:ascii="Book Antiqua" w:hAnsi="Book Antiqua"/>
          <w:b/>
        </w:rPr>
      </w:pPr>
      <w:r w:rsidRPr="00A63E98">
        <w:rPr>
          <w:rFonts w:ascii="Book Antiqua" w:hAnsi="Book Antiqua"/>
        </w:rPr>
        <w:t xml:space="preserve">L’An Deux Mil Vingt Cinq, le Six du mois de Février, à Vingt Heures trente, le Conseil Municipal de Saint-Hippolyte, régulièrement convoqué, s’est réuni en session ordinaire, à la Mairie, sous la présidence de Monsieur Pierre Chevillon, Maire, </w:t>
      </w:r>
    </w:p>
    <w:p w14:paraId="594ABE68" w14:textId="77777777" w:rsidR="00A63E98" w:rsidRPr="00A63E98" w:rsidRDefault="00A63E98" w:rsidP="00A63E98">
      <w:pPr>
        <w:spacing w:after="0" w:line="240" w:lineRule="auto"/>
        <w:rPr>
          <w:rFonts w:ascii="Book Antiqua" w:hAnsi="Book Antiqua"/>
        </w:rPr>
      </w:pPr>
      <w:r w:rsidRPr="00A63E98">
        <w:rPr>
          <w:rFonts w:ascii="Book Antiqua" w:hAnsi="Book Antiqua"/>
          <w:b/>
        </w:rPr>
        <w:t>Étaient Présents</w:t>
      </w:r>
      <w:r w:rsidRPr="00A63E98">
        <w:rPr>
          <w:rFonts w:ascii="Book Antiqua" w:hAnsi="Book Antiqua"/>
        </w:rPr>
        <w:t xml:space="preserve"> : M </w:t>
      </w:r>
      <w:proofErr w:type="spellStart"/>
      <w:proofErr w:type="gramStart"/>
      <w:r w:rsidRPr="00A63E98">
        <w:rPr>
          <w:rFonts w:ascii="Book Antiqua" w:hAnsi="Book Antiqua"/>
        </w:rPr>
        <w:t>P.Chevillon</w:t>
      </w:r>
      <w:proofErr w:type="spellEnd"/>
      <w:proofErr w:type="gramEnd"/>
      <w:r w:rsidRPr="00A63E98">
        <w:rPr>
          <w:rFonts w:ascii="Book Antiqua" w:hAnsi="Book Antiqua"/>
        </w:rPr>
        <w:t xml:space="preserve">, M </w:t>
      </w:r>
      <w:proofErr w:type="spellStart"/>
      <w:r w:rsidRPr="00A63E98">
        <w:rPr>
          <w:rFonts w:ascii="Book Antiqua" w:hAnsi="Book Antiqua"/>
        </w:rPr>
        <w:t>A.Barathieu</w:t>
      </w:r>
      <w:proofErr w:type="spellEnd"/>
      <w:r w:rsidRPr="00A63E98">
        <w:rPr>
          <w:rFonts w:ascii="Book Antiqua" w:hAnsi="Book Antiqua"/>
        </w:rPr>
        <w:t xml:space="preserve">,  MM </w:t>
      </w:r>
      <w:proofErr w:type="spellStart"/>
      <w:r w:rsidRPr="00A63E98">
        <w:rPr>
          <w:rFonts w:ascii="Book Antiqua" w:hAnsi="Book Antiqua"/>
        </w:rPr>
        <w:t>D.Pacaud</w:t>
      </w:r>
      <w:proofErr w:type="spellEnd"/>
      <w:r w:rsidRPr="00A63E98">
        <w:rPr>
          <w:rFonts w:ascii="Book Antiqua" w:hAnsi="Book Antiqua"/>
        </w:rPr>
        <w:t xml:space="preserve">,  </w:t>
      </w:r>
      <w:proofErr w:type="spellStart"/>
      <w:r w:rsidRPr="00A63E98">
        <w:rPr>
          <w:rFonts w:ascii="Book Antiqua" w:hAnsi="Book Antiqua"/>
        </w:rPr>
        <w:t>P.Canizares</w:t>
      </w:r>
      <w:proofErr w:type="spellEnd"/>
      <w:r w:rsidRPr="00A63E98">
        <w:rPr>
          <w:rFonts w:ascii="Book Antiqua" w:hAnsi="Book Antiqua"/>
        </w:rPr>
        <w:t xml:space="preserve">, </w:t>
      </w:r>
      <w:proofErr w:type="spellStart"/>
      <w:r w:rsidRPr="00A63E98">
        <w:rPr>
          <w:rFonts w:ascii="Book Antiqua" w:hAnsi="Book Antiqua"/>
        </w:rPr>
        <w:t>M.Tavernet</w:t>
      </w:r>
      <w:proofErr w:type="spellEnd"/>
      <w:r w:rsidRPr="00A63E98">
        <w:rPr>
          <w:rFonts w:ascii="Book Antiqua" w:hAnsi="Book Antiqua"/>
        </w:rPr>
        <w:t xml:space="preserve">, Mme  </w:t>
      </w:r>
      <w:proofErr w:type="spellStart"/>
      <w:r w:rsidRPr="00A63E98">
        <w:rPr>
          <w:rFonts w:ascii="Book Antiqua" w:hAnsi="Book Antiqua"/>
        </w:rPr>
        <w:t>F.Depreytère</w:t>
      </w:r>
      <w:proofErr w:type="spellEnd"/>
      <w:r w:rsidRPr="00A63E98">
        <w:rPr>
          <w:rFonts w:ascii="Book Antiqua" w:hAnsi="Book Antiqua"/>
        </w:rPr>
        <w:t xml:space="preserve">, M </w:t>
      </w:r>
      <w:proofErr w:type="spellStart"/>
      <w:r w:rsidRPr="00A63E98">
        <w:rPr>
          <w:rFonts w:ascii="Book Antiqua" w:hAnsi="Book Antiqua"/>
        </w:rPr>
        <w:t>B.Nominé</w:t>
      </w:r>
      <w:proofErr w:type="spellEnd"/>
      <w:r w:rsidRPr="00A63E98">
        <w:rPr>
          <w:rFonts w:ascii="Book Antiqua" w:hAnsi="Book Antiqua"/>
        </w:rPr>
        <w:t xml:space="preserve">, Mmes </w:t>
      </w:r>
      <w:proofErr w:type="spellStart"/>
      <w:r w:rsidRPr="00A63E98">
        <w:rPr>
          <w:rFonts w:ascii="Book Antiqua" w:hAnsi="Book Antiqua"/>
        </w:rPr>
        <w:t>M.Giret</w:t>
      </w:r>
      <w:proofErr w:type="spellEnd"/>
      <w:r w:rsidRPr="00A63E98">
        <w:rPr>
          <w:rFonts w:ascii="Book Antiqua" w:hAnsi="Book Antiqua"/>
        </w:rPr>
        <w:t xml:space="preserve">, </w:t>
      </w:r>
      <w:proofErr w:type="spellStart"/>
      <w:r w:rsidRPr="00A63E98">
        <w:rPr>
          <w:rFonts w:ascii="Book Antiqua" w:hAnsi="Book Antiqua"/>
        </w:rPr>
        <w:t>C.Simonet</w:t>
      </w:r>
      <w:proofErr w:type="spellEnd"/>
      <w:r w:rsidRPr="00A63E98">
        <w:rPr>
          <w:rFonts w:ascii="Book Antiqua" w:hAnsi="Book Antiqua"/>
        </w:rPr>
        <w:t xml:space="preserve">,  </w:t>
      </w:r>
      <w:proofErr w:type="spellStart"/>
      <w:r w:rsidRPr="00A63E98">
        <w:rPr>
          <w:rFonts w:ascii="Book Antiqua" w:hAnsi="Book Antiqua"/>
        </w:rPr>
        <w:t>C.Jaucourt-Perroy</w:t>
      </w:r>
      <w:proofErr w:type="spellEnd"/>
      <w:r w:rsidRPr="00A63E98">
        <w:rPr>
          <w:rFonts w:ascii="Book Antiqua" w:hAnsi="Book Antiqua"/>
        </w:rPr>
        <w:t xml:space="preserve">, M </w:t>
      </w:r>
      <w:proofErr w:type="spellStart"/>
      <w:r w:rsidRPr="00A63E98">
        <w:rPr>
          <w:rFonts w:ascii="Book Antiqua" w:hAnsi="Book Antiqua"/>
        </w:rPr>
        <w:t>D.Véchambre</w:t>
      </w:r>
      <w:proofErr w:type="spellEnd"/>
    </w:p>
    <w:p w14:paraId="2377783F" w14:textId="77777777" w:rsidR="00A63E98" w:rsidRPr="00A63E98" w:rsidRDefault="00A63E98" w:rsidP="00A63E98">
      <w:pPr>
        <w:spacing w:after="0" w:line="240" w:lineRule="auto"/>
        <w:rPr>
          <w:rFonts w:ascii="Book Antiqua" w:hAnsi="Book Antiqua"/>
          <w:b/>
          <w:bCs/>
        </w:rPr>
      </w:pPr>
      <w:r w:rsidRPr="00A63E98">
        <w:rPr>
          <w:rFonts w:ascii="Book Antiqua" w:hAnsi="Book Antiqua"/>
          <w:b/>
        </w:rPr>
        <w:t>Absents Excusés</w:t>
      </w:r>
      <w:r w:rsidRPr="00A63E98">
        <w:rPr>
          <w:rFonts w:ascii="Book Antiqua" w:hAnsi="Book Antiqua"/>
        </w:rPr>
        <w:t xml:space="preserve"> : Mme </w:t>
      </w:r>
      <w:proofErr w:type="spellStart"/>
      <w:proofErr w:type="gramStart"/>
      <w:r w:rsidRPr="00A63E98">
        <w:rPr>
          <w:rFonts w:ascii="Book Antiqua" w:hAnsi="Book Antiqua"/>
        </w:rPr>
        <w:t>D.Suire</w:t>
      </w:r>
      <w:proofErr w:type="spellEnd"/>
      <w:proofErr w:type="gramEnd"/>
      <w:r w:rsidRPr="00A63E98">
        <w:rPr>
          <w:rFonts w:ascii="Book Antiqua" w:hAnsi="Book Antiqua"/>
        </w:rPr>
        <w:t xml:space="preserve"> qui a donné pouvoir à M </w:t>
      </w:r>
      <w:proofErr w:type="spellStart"/>
      <w:r w:rsidRPr="00A63E98">
        <w:rPr>
          <w:rFonts w:ascii="Book Antiqua" w:hAnsi="Book Antiqua"/>
        </w:rPr>
        <w:t>A.Barathieu</w:t>
      </w:r>
      <w:proofErr w:type="spellEnd"/>
      <w:r w:rsidRPr="00A63E98">
        <w:rPr>
          <w:rFonts w:ascii="Book Antiqua" w:hAnsi="Book Antiqua"/>
        </w:rPr>
        <w:t xml:space="preserve">, Mme </w:t>
      </w:r>
      <w:proofErr w:type="spellStart"/>
      <w:r w:rsidRPr="00A63E98">
        <w:rPr>
          <w:rFonts w:ascii="Book Antiqua" w:hAnsi="Book Antiqua"/>
        </w:rPr>
        <w:t>E.Fleuriaud</w:t>
      </w:r>
      <w:proofErr w:type="spellEnd"/>
    </w:p>
    <w:p w14:paraId="394CC1E8" w14:textId="77777777" w:rsidR="00A63E98" w:rsidRPr="00A63E98" w:rsidRDefault="00A63E98" w:rsidP="00A63E98">
      <w:pPr>
        <w:spacing w:after="0" w:line="240" w:lineRule="auto"/>
        <w:rPr>
          <w:rFonts w:ascii="Book Antiqua" w:hAnsi="Book Antiqua"/>
        </w:rPr>
      </w:pPr>
      <w:r w:rsidRPr="00A63E98">
        <w:rPr>
          <w:rFonts w:ascii="Book Antiqua" w:hAnsi="Book Antiqua"/>
        </w:rPr>
        <w:t xml:space="preserve">Secrétaire de Séance : M </w:t>
      </w:r>
      <w:proofErr w:type="spellStart"/>
      <w:proofErr w:type="gramStart"/>
      <w:r w:rsidRPr="00A63E98">
        <w:rPr>
          <w:rFonts w:ascii="Book Antiqua" w:hAnsi="Book Antiqua"/>
        </w:rPr>
        <w:t>D.Pacaud</w:t>
      </w:r>
      <w:proofErr w:type="spellEnd"/>
      <w:proofErr w:type="gramEnd"/>
    </w:p>
    <w:p w14:paraId="50B7C3E3" w14:textId="77777777" w:rsidR="00A63E98" w:rsidRPr="00A63E98" w:rsidRDefault="00A63E98" w:rsidP="00A63E98">
      <w:pPr>
        <w:rPr>
          <w:rFonts w:ascii="Book Antiqua" w:hAnsi="Book Antiqua"/>
        </w:rPr>
      </w:pPr>
      <w:r w:rsidRPr="00A63E98">
        <w:rPr>
          <w:rFonts w:ascii="Book Antiqua" w:hAnsi="Book Antiqua"/>
        </w:rPr>
        <w:t>Date de convocation : 30 janvier 2025</w:t>
      </w:r>
    </w:p>
    <w:p w14:paraId="34E2B6CE" w14:textId="77777777" w:rsidR="00A63E98" w:rsidRPr="00A63E98" w:rsidRDefault="00A63E98" w:rsidP="00A63E98">
      <w:pPr>
        <w:rPr>
          <w:rFonts w:ascii="Book Antiqua" w:hAnsi="Book Antiqua" w:cs="Arial"/>
          <w:b/>
        </w:rPr>
      </w:pPr>
      <w:r w:rsidRPr="00A63E98">
        <w:rPr>
          <w:rFonts w:ascii="Book Antiqua" w:hAnsi="Book Antiqua"/>
          <w:b/>
        </w:rPr>
        <w:t>Ordre du jour</w:t>
      </w:r>
      <w:r w:rsidRPr="00A63E98">
        <w:rPr>
          <w:rFonts w:ascii="Book Antiqua" w:hAnsi="Book Antiqua"/>
          <w:bCs/>
        </w:rPr>
        <w:t xml:space="preserve"> : </w:t>
      </w:r>
      <w:r w:rsidRPr="00A63E98">
        <w:rPr>
          <w:rFonts w:ascii="Book Antiqua" w:hAnsi="Book Antiqua"/>
        </w:rPr>
        <w:t>Délibération autorisant le maire à engager, liquider et mandater les dépenses d'investissement (dans la limite du quart des crédits ouverts au budget de l’exercice précédent) avant le vote du budget 2025</w:t>
      </w:r>
      <w:r w:rsidRPr="00A63E98">
        <w:rPr>
          <w:rFonts w:ascii="Book Antiqua" w:hAnsi="Book Antiqua"/>
          <w:lang w:eastAsia="ar-SA"/>
        </w:rPr>
        <w:t>, Compte</w:t>
      </w:r>
      <w:r w:rsidRPr="00A63E98">
        <w:rPr>
          <w:rFonts w:ascii="Book Antiqua" w:hAnsi="Book Antiqua"/>
          <w:bCs/>
        </w:rPr>
        <w:t xml:space="preserve"> Rendu des Commissions, Questions Diverses</w:t>
      </w:r>
      <w:r w:rsidRPr="00A63E98">
        <w:rPr>
          <w:rFonts w:ascii="Book Antiqua" w:hAnsi="Book Antiqua"/>
        </w:rPr>
        <w:t>.</w:t>
      </w:r>
    </w:p>
    <w:p w14:paraId="788BC06B" w14:textId="77777777" w:rsidR="00A63E98" w:rsidRPr="00A63E98" w:rsidRDefault="00A63E98" w:rsidP="00A63E98">
      <w:pPr>
        <w:spacing w:after="0" w:line="240" w:lineRule="auto"/>
        <w:rPr>
          <w:rFonts w:ascii="Book Antiqua" w:hAnsi="Book Antiqua" w:cs="Times New Roman"/>
        </w:rPr>
      </w:pPr>
      <w:r w:rsidRPr="00A63E98">
        <w:rPr>
          <w:rFonts w:ascii="Book Antiqua" w:hAnsi="Book Antiqua" w:cs="Times New Roman"/>
        </w:rPr>
        <w:t>Monsieur le Maire ouvre la séance.</w:t>
      </w:r>
    </w:p>
    <w:p w14:paraId="2461C2EE" w14:textId="77777777" w:rsidR="00A63E98" w:rsidRPr="00A63E98" w:rsidRDefault="00A63E98" w:rsidP="00A63E98">
      <w:pPr>
        <w:suppressAutoHyphens/>
        <w:overflowPunct w:val="0"/>
        <w:autoSpaceDE w:val="0"/>
        <w:spacing w:after="0" w:line="240" w:lineRule="auto"/>
        <w:rPr>
          <w:rFonts w:ascii="Book Antiqua" w:hAnsi="Book Antiqua" w:cs="Times New Roman"/>
        </w:rPr>
      </w:pPr>
      <w:r w:rsidRPr="00A63E98">
        <w:rPr>
          <w:rFonts w:ascii="Book Antiqua" w:hAnsi="Book Antiqua" w:cs="Times New Roman"/>
        </w:rPr>
        <w:t>Le procès-verbal du 17 décembre 2024 est adopté à l’unanimité</w:t>
      </w:r>
    </w:p>
    <w:p w14:paraId="557FFA41" w14:textId="77777777" w:rsidR="00A63E98" w:rsidRPr="00A63E98" w:rsidRDefault="00A63E98" w:rsidP="00A63E98">
      <w:pPr>
        <w:suppressAutoHyphens/>
        <w:overflowPunct w:val="0"/>
        <w:autoSpaceDE w:val="0"/>
        <w:spacing w:after="0" w:line="240" w:lineRule="auto"/>
        <w:rPr>
          <w:rFonts w:ascii="Book Antiqua" w:hAnsi="Book Antiqua" w:cs="Times New Roman"/>
        </w:rPr>
      </w:pPr>
    </w:p>
    <w:p w14:paraId="29B068A1" w14:textId="77777777" w:rsidR="00A63E98" w:rsidRPr="00A63E98" w:rsidRDefault="00A63E98" w:rsidP="00A63E98">
      <w:pPr>
        <w:spacing w:after="0" w:line="240" w:lineRule="auto"/>
        <w:rPr>
          <w:rFonts w:ascii="Book Antiqua" w:hAnsi="Book Antiqua"/>
        </w:rPr>
      </w:pPr>
      <w:r w:rsidRPr="00A63E98">
        <w:rPr>
          <w:rFonts w:ascii="Book Antiqua" w:hAnsi="Book Antiqua"/>
          <w:b/>
          <w:bCs/>
          <w:lang w:eastAsia="ar-SA"/>
        </w:rPr>
        <w:t xml:space="preserve">1) </w:t>
      </w:r>
      <w:r w:rsidRPr="00A63E98">
        <w:rPr>
          <w:rFonts w:ascii="Book Antiqua" w:hAnsi="Book Antiqua"/>
          <w:b/>
          <w:bCs/>
        </w:rPr>
        <w:t>Délibération autorisant le maire à engager, liquider et mandater les dépenses d'investissement (dans la limite du quart des crédits ouverts au budget de l’exercice précédent) avant le vote du budget 2025</w:t>
      </w:r>
      <w:r w:rsidRPr="00A63E98">
        <w:rPr>
          <w:rFonts w:ascii="Book Antiqua" w:hAnsi="Book Antiqua"/>
        </w:rPr>
        <w:t xml:space="preserve">. </w:t>
      </w:r>
    </w:p>
    <w:p w14:paraId="6FAABA3C" w14:textId="77777777" w:rsidR="00A63E98" w:rsidRPr="00A63E98" w:rsidRDefault="00A63E98" w:rsidP="00A63E98">
      <w:pPr>
        <w:spacing w:after="0" w:line="240" w:lineRule="auto"/>
        <w:rPr>
          <w:rFonts w:ascii="Book Antiqua" w:hAnsi="Book Antiqua"/>
        </w:rPr>
      </w:pPr>
      <w:r w:rsidRPr="00A63E98">
        <w:rPr>
          <w:rFonts w:ascii="Book Antiqua" w:hAnsi="Book Antiqua"/>
        </w:rPr>
        <w:t>M. le maire rappelle les dispositions extraites de l’article L 1612-1 du code général des collectivités territoriales</w:t>
      </w:r>
    </w:p>
    <w:p w14:paraId="03B77029" w14:textId="77777777" w:rsidR="00A63E98" w:rsidRPr="00A63E98" w:rsidRDefault="00A63E98" w:rsidP="00A63E98">
      <w:pPr>
        <w:spacing w:after="0" w:line="240" w:lineRule="auto"/>
        <w:rPr>
          <w:rFonts w:ascii="Book Antiqua" w:hAnsi="Book Antiqua"/>
          <w:i/>
          <w:iCs/>
        </w:rPr>
      </w:pPr>
      <w:r w:rsidRPr="00A63E98">
        <w:rPr>
          <w:rFonts w:ascii="Book Antiqua" w:hAnsi="Book Antiqua"/>
        </w:rPr>
        <w:t>« </w:t>
      </w:r>
      <w:r w:rsidRPr="00A63E98">
        <w:rPr>
          <w:rFonts w:ascii="Book Antiqua" w:hAnsi="Book Antiqua"/>
          <w:b/>
          <w:bCs/>
          <w:i/>
          <w:iCs/>
        </w:rPr>
        <w:t>Article L 1612-1</w:t>
      </w:r>
      <w:r w:rsidRPr="00A63E98">
        <w:rPr>
          <w:rFonts w:ascii="Book Antiqua" w:hAnsi="Book Antiqua"/>
        </w:rPr>
        <w:t xml:space="preserve"> </w:t>
      </w:r>
      <w:r w:rsidRPr="00A63E98">
        <w:rPr>
          <w:rFonts w:ascii="Book Antiqua" w:hAnsi="Book Antiqua"/>
          <w:i/>
          <w:iCs/>
        </w:rPr>
        <w:t xml:space="preserve">Modifié par LOI n°2012-1510 du 29 décembre 2012 - art. 37 (VD) </w:t>
      </w:r>
    </w:p>
    <w:p w14:paraId="2F5678C9" w14:textId="77777777" w:rsidR="00A63E98" w:rsidRPr="00A63E98" w:rsidRDefault="00A63E98" w:rsidP="00A63E98">
      <w:pPr>
        <w:spacing w:after="0" w:line="240" w:lineRule="auto"/>
        <w:rPr>
          <w:rFonts w:ascii="Book Antiqua" w:hAnsi="Book Antiqua"/>
        </w:rPr>
      </w:pPr>
      <w:r w:rsidRPr="00A63E98">
        <w:rPr>
          <w:rFonts w:ascii="Book Antiqua" w:hAnsi="Book Antiqua"/>
          <w:i/>
          <w:iCs/>
        </w:rPr>
        <w:t>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Il est en droit de mandater les dépenses afférentes au remboursement en capital des annuités de la dette venant à échéance avant le vote du budget. 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r w:rsidRPr="00A63E98">
        <w:rPr>
          <w:rFonts w:ascii="Book Antiqua" w:hAnsi="Book Antiqua"/>
        </w:rPr>
        <w:t xml:space="preserve"> </w:t>
      </w:r>
      <w:r w:rsidRPr="00A63E98">
        <w:rPr>
          <w:rFonts w:ascii="Book Antiqua" w:hAnsi="Book Antiqua"/>
          <w:i/>
          <w:iCs/>
        </w:rPr>
        <w:t>L'autorisation mentionnée à l'alinéa ci-dessus précise le montant et l'affectation des crédits. Les crédits correspondants, visés aux alinéas ci-dessus, sont inscrits au budget lors de son adoption. Le comptable est en droit de payer les mandats et recouvrer les titres de recettes émis dans les conditions ci-dessus</w:t>
      </w:r>
      <w:r w:rsidRPr="00A63E98">
        <w:rPr>
          <w:rFonts w:ascii="Book Antiqua" w:hAnsi="Book Antiqua"/>
        </w:rPr>
        <w:t xml:space="preserve">. » </w:t>
      </w:r>
    </w:p>
    <w:p w14:paraId="23649116" w14:textId="77777777" w:rsidR="00A63E98" w:rsidRPr="00A63E98" w:rsidRDefault="00A63E98" w:rsidP="00A63E98">
      <w:pPr>
        <w:spacing w:after="0" w:line="240" w:lineRule="auto"/>
        <w:rPr>
          <w:rFonts w:ascii="Book Antiqua" w:hAnsi="Book Antiqua"/>
        </w:rPr>
      </w:pPr>
    </w:p>
    <w:p w14:paraId="641EB934" w14:textId="77777777" w:rsidR="00A63E98" w:rsidRPr="00A63E98" w:rsidRDefault="00A63E98" w:rsidP="00A63E98">
      <w:pPr>
        <w:spacing w:after="0" w:line="240" w:lineRule="auto"/>
        <w:rPr>
          <w:rFonts w:ascii="Book Antiqua" w:hAnsi="Book Antiqua"/>
        </w:rPr>
      </w:pPr>
      <w:r w:rsidRPr="00A63E98">
        <w:rPr>
          <w:rFonts w:ascii="Book Antiqua" w:hAnsi="Book Antiqua"/>
        </w:rPr>
        <w:t>Il précise que les modalités de calcul sont les suivantes :</w:t>
      </w:r>
    </w:p>
    <w:p w14:paraId="09B3F349" w14:textId="77777777" w:rsidR="00A63E98" w:rsidRPr="00A63E98" w:rsidRDefault="00A63E98" w:rsidP="00A63E98">
      <w:pPr>
        <w:spacing w:after="0" w:line="240" w:lineRule="auto"/>
        <w:rPr>
          <w:rFonts w:ascii="Book Antiqua" w:hAnsi="Book Antiqua"/>
        </w:rPr>
      </w:pPr>
      <w:r w:rsidRPr="00A63E98">
        <w:rPr>
          <w:rFonts w:ascii="Book Antiqua" w:hAnsi="Book Antiqua"/>
        </w:rPr>
        <w:t>(Dépenses réelles d’investissement – RAR – D16- D020) + l’article 165 / 4</w:t>
      </w:r>
    </w:p>
    <w:p w14:paraId="5788E081" w14:textId="77777777" w:rsidR="00A63E98" w:rsidRPr="00A63E98" w:rsidRDefault="00A63E98" w:rsidP="00A63E98">
      <w:pPr>
        <w:spacing w:after="0" w:line="240" w:lineRule="auto"/>
        <w:rPr>
          <w:rFonts w:ascii="Book Antiqua" w:hAnsi="Book Antiqua"/>
        </w:rPr>
      </w:pPr>
      <w:r w:rsidRPr="00A63E98">
        <w:rPr>
          <w:rFonts w:ascii="Book Antiqua" w:hAnsi="Book Antiqua"/>
        </w:rPr>
        <w:t>Soit (681 310.37 – 208 263.40- 185200) + 1173.79 = 289 020.76 /4 = 72255.19€</w:t>
      </w:r>
    </w:p>
    <w:p w14:paraId="39199C6A" w14:textId="77777777" w:rsidR="00A63E98" w:rsidRPr="00A63E98" w:rsidRDefault="00A63E98" w:rsidP="00A63E98">
      <w:pPr>
        <w:spacing w:after="0" w:line="240" w:lineRule="auto"/>
        <w:rPr>
          <w:rFonts w:ascii="Book Antiqua" w:hAnsi="Book Antiqua"/>
        </w:rPr>
      </w:pPr>
    </w:p>
    <w:p w14:paraId="26926966" w14:textId="77777777" w:rsidR="00A63E98" w:rsidRPr="00A63E98" w:rsidRDefault="00A63E98" w:rsidP="00A63E98">
      <w:pPr>
        <w:spacing w:after="0" w:line="240" w:lineRule="auto"/>
        <w:rPr>
          <w:rFonts w:ascii="Book Antiqua" w:hAnsi="Book Antiqua"/>
        </w:rPr>
      </w:pPr>
      <w:r w:rsidRPr="00A63E98">
        <w:rPr>
          <w:rFonts w:ascii="Book Antiqua" w:hAnsi="Book Antiqua"/>
        </w:rPr>
        <w:t>Conformément aux textes applicables, il est proposé au conseil municipal de faire application de cet article à hauteur seulement de 15 000 € afin de pouvoir poursuivre l’étude la rénovation énergétique du groupe scolaire.</w:t>
      </w:r>
    </w:p>
    <w:p w14:paraId="59E22E31" w14:textId="77777777" w:rsidR="00A63E98" w:rsidRPr="00A63E98" w:rsidRDefault="00A63E98" w:rsidP="00A63E98">
      <w:pPr>
        <w:spacing w:after="0" w:line="240" w:lineRule="auto"/>
        <w:rPr>
          <w:rFonts w:ascii="Book Antiqua" w:hAnsi="Book Antiqua"/>
        </w:rPr>
      </w:pPr>
      <w:r w:rsidRPr="00A63E98">
        <w:rPr>
          <w:rFonts w:ascii="Book Antiqua" w:hAnsi="Book Antiqua"/>
        </w:rPr>
        <w:t>Après en avoir délibéré, le conseil municipal décide, à l’unanimité :</w:t>
      </w:r>
    </w:p>
    <w:p w14:paraId="5512FA39" w14:textId="77777777" w:rsidR="00A63E98" w:rsidRPr="00A63E98" w:rsidRDefault="00A63E98" w:rsidP="00A63E98">
      <w:pPr>
        <w:spacing w:after="0" w:line="240" w:lineRule="auto"/>
        <w:rPr>
          <w:rFonts w:ascii="Book Antiqua" w:hAnsi="Book Antiqua"/>
        </w:rPr>
      </w:pPr>
      <w:r w:rsidRPr="00A63E98">
        <w:rPr>
          <w:rFonts w:ascii="Book Antiqua" w:hAnsi="Book Antiqua"/>
        </w:rPr>
        <w:lastRenderedPageBreak/>
        <w:t>- D’autoriser M le Maire à engager, mandater et liquider les dépenses d’investissement dans la limite des crédits repris ci-dessous et avant le vote du budget primitif 2025. Opération d’équipement : Construction Scolaire Op 084 article 2313 : + 15 000.00 euros</w:t>
      </w:r>
    </w:p>
    <w:p w14:paraId="5416302D" w14:textId="77777777" w:rsidR="00A63E98" w:rsidRPr="00A63E98" w:rsidRDefault="00A63E98" w:rsidP="00A63E98">
      <w:pPr>
        <w:numPr>
          <w:ilvl w:val="0"/>
          <w:numId w:val="1"/>
        </w:numPr>
        <w:spacing w:after="0" w:line="240" w:lineRule="auto"/>
        <w:ind w:left="284" w:hanging="284"/>
        <w:contextualSpacing/>
        <w:rPr>
          <w:rFonts w:ascii="Book Antiqua" w:eastAsia="Times New Roman" w:hAnsi="Book Antiqua" w:cs="Times New Roman"/>
          <w:lang w:eastAsia="fr-FR"/>
        </w:rPr>
      </w:pPr>
      <w:r w:rsidRPr="00A63E98">
        <w:rPr>
          <w:rFonts w:ascii="Book Antiqua" w:eastAsia="Times New Roman" w:hAnsi="Book Antiqua" w:cs="Times New Roman"/>
          <w:lang w:eastAsia="fr-FR"/>
        </w:rPr>
        <w:t xml:space="preserve">Dit que ces dépenses seront inscrites sur le budget primitif de l’année 2025  </w:t>
      </w:r>
    </w:p>
    <w:p w14:paraId="72431585" w14:textId="77777777" w:rsidR="00A63E98" w:rsidRPr="00A63E98" w:rsidRDefault="00A63E98" w:rsidP="00A63E98">
      <w:pPr>
        <w:spacing w:after="0" w:line="240" w:lineRule="auto"/>
        <w:ind w:left="284"/>
        <w:contextualSpacing/>
        <w:rPr>
          <w:rFonts w:ascii="Book Antiqua" w:eastAsia="Times New Roman" w:hAnsi="Book Antiqua" w:cs="Times New Roman"/>
          <w:lang w:eastAsia="fr-FR"/>
        </w:rPr>
      </w:pPr>
    </w:p>
    <w:p w14:paraId="129D9418" w14:textId="77777777" w:rsidR="00A63E98" w:rsidRPr="00A63E98" w:rsidRDefault="00A63E98" w:rsidP="00A63E98">
      <w:pPr>
        <w:spacing w:after="0" w:line="240" w:lineRule="auto"/>
        <w:rPr>
          <w:rFonts w:ascii="Book Antiqua" w:hAnsi="Book Antiqua" w:cs="Times New Roman"/>
          <w:b/>
          <w:bCs/>
        </w:rPr>
      </w:pPr>
      <w:r w:rsidRPr="00A63E98">
        <w:rPr>
          <w:rFonts w:ascii="Book Antiqua" w:hAnsi="Book Antiqua" w:cs="Times New Roman"/>
          <w:b/>
          <w:bCs/>
        </w:rPr>
        <w:t>2) Questions diverses</w:t>
      </w:r>
    </w:p>
    <w:p w14:paraId="42470B19" w14:textId="77777777" w:rsidR="00A63E98" w:rsidRPr="00A63E98" w:rsidRDefault="00A63E98" w:rsidP="00A63E98">
      <w:pPr>
        <w:spacing w:after="0" w:line="240" w:lineRule="auto"/>
        <w:rPr>
          <w:rFonts w:ascii="Book Antiqua" w:hAnsi="Book Antiqua" w:cs="Times New Roman"/>
        </w:rPr>
      </w:pPr>
      <w:r w:rsidRPr="00A63E98">
        <w:rPr>
          <w:rFonts w:ascii="Book Antiqua" w:hAnsi="Book Antiqua" w:cs="Times New Roman"/>
        </w:rPr>
        <w:t xml:space="preserve">- Monsieur le </w:t>
      </w:r>
      <w:proofErr w:type="spellStart"/>
      <w:r w:rsidRPr="00A63E98">
        <w:rPr>
          <w:rFonts w:ascii="Book Antiqua" w:hAnsi="Book Antiqua" w:cs="Times New Roman"/>
        </w:rPr>
        <w:t>Marie</w:t>
      </w:r>
      <w:proofErr w:type="spellEnd"/>
      <w:r w:rsidRPr="00A63E98">
        <w:rPr>
          <w:rFonts w:ascii="Book Antiqua" w:hAnsi="Book Antiqua" w:cs="Times New Roman"/>
        </w:rPr>
        <w:t xml:space="preserve"> informe le conseil municipal qu’un dossier de mise en place d’une antenne relais rue du Portail Rouge lui a été soumis. Instruit en grande partie par le demandeur qui a pris toute disposition pour rassembler les autorisations nécessaires, Monsieur le Maire a opposé la proximité de l’église à l’architecte des bâtiments de France qui a répondu les articles L621-30, L621-32 et L632-2 du code du patrimoine ne sont pas applicables et ce projet n’est pas soumis à l’accord de l’architecte des Bâtiments de France. Le dossier va donc suivre son cours.</w:t>
      </w:r>
    </w:p>
    <w:p w14:paraId="3A81A8A1" w14:textId="77777777" w:rsidR="00A63E98" w:rsidRPr="00A63E98" w:rsidRDefault="00A63E98" w:rsidP="00A63E98">
      <w:pPr>
        <w:spacing w:after="0" w:line="240" w:lineRule="auto"/>
        <w:rPr>
          <w:rFonts w:ascii="Book Antiqua" w:hAnsi="Book Antiqua"/>
        </w:rPr>
      </w:pPr>
      <w:r w:rsidRPr="00A63E98">
        <w:rPr>
          <w:rFonts w:ascii="Book Antiqua" w:hAnsi="Book Antiqua"/>
        </w:rPr>
        <w:t xml:space="preserve">- Avancement cantine : Monsieur </w:t>
      </w:r>
      <w:proofErr w:type="spellStart"/>
      <w:r w:rsidRPr="00A63E98">
        <w:rPr>
          <w:rFonts w:ascii="Book Antiqua" w:hAnsi="Book Antiqua"/>
        </w:rPr>
        <w:t>Barathieu</w:t>
      </w:r>
      <w:proofErr w:type="spellEnd"/>
      <w:r w:rsidRPr="00A63E98">
        <w:rPr>
          <w:rFonts w:ascii="Book Antiqua" w:hAnsi="Book Antiqua"/>
        </w:rPr>
        <w:t xml:space="preserve"> signale que la fin des travaux se fera dans les délais. Réouverture prévue à la rentrée des vacances scolaires soit le 10 mars.</w:t>
      </w:r>
    </w:p>
    <w:p w14:paraId="1B2F0D92" w14:textId="77777777" w:rsidR="00A63E98" w:rsidRPr="00A63E98" w:rsidRDefault="00A63E98" w:rsidP="00A63E98">
      <w:pPr>
        <w:spacing w:after="0" w:line="240" w:lineRule="auto"/>
        <w:rPr>
          <w:rFonts w:ascii="Book Antiqua" w:hAnsi="Book Antiqua"/>
        </w:rPr>
      </w:pPr>
      <w:r w:rsidRPr="00A63E98">
        <w:rPr>
          <w:rFonts w:ascii="Book Antiqua" w:hAnsi="Book Antiqua"/>
        </w:rPr>
        <w:t>- Monsieur BARATHIEU signale qu’après de difficile recherches de gaine de passage de la fibre, celle-ci va pouvoir être enfin installée à la salle des fêtes.</w:t>
      </w:r>
    </w:p>
    <w:p w14:paraId="77284EC9" w14:textId="77777777" w:rsidR="00A63E98" w:rsidRPr="00A63E98" w:rsidRDefault="00A63E98" w:rsidP="00A63E98">
      <w:pPr>
        <w:spacing w:after="0" w:line="240" w:lineRule="auto"/>
        <w:rPr>
          <w:rFonts w:ascii="Book Antiqua" w:hAnsi="Book Antiqua"/>
        </w:rPr>
      </w:pPr>
      <w:r w:rsidRPr="00A63E98">
        <w:rPr>
          <w:rFonts w:ascii="Book Antiqua" w:hAnsi="Book Antiqua"/>
        </w:rPr>
        <w:t xml:space="preserve">- Monsieur BARATHIEU communique qu’un remplacement des lampes (relamping) par des </w:t>
      </w:r>
      <w:proofErr w:type="spellStart"/>
      <w:r w:rsidRPr="00A63E98">
        <w:rPr>
          <w:rFonts w:ascii="Book Antiqua" w:hAnsi="Book Antiqua"/>
        </w:rPr>
        <w:t>leds</w:t>
      </w:r>
      <w:proofErr w:type="spellEnd"/>
      <w:r w:rsidRPr="00A63E98">
        <w:rPr>
          <w:rFonts w:ascii="Book Antiqua" w:hAnsi="Book Antiqua"/>
        </w:rPr>
        <w:t xml:space="preserve"> sur l’éclairage publique va être effectué sur toute la commune. D’importantes économies sont attendues.</w:t>
      </w:r>
    </w:p>
    <w:p w14:paraId="6063706D" w14:textId="77777777" w:rsidR="00A63E98" w:rsidRPr="00A63E98" w:rsidRDefault="00A63E98" w:rsidP="00A63E98">
      <w:pPr>
        <w:spacing w:after="0" w:line="240" w:lineRule="auto"/>
        <w:rPr>
          <w:rFonts w:ascii="Book Antiqua" w:hAnsi="Book Antiqua"/>
        </w:rPr>
      </w:pPr>
      <w:r w:rsidRPr="00A63E98">
        <w:rPr>
          <w:rFonts w:ascii="Book Antiqua" w:hAnsi="Book Antiqua"/>
        </w:rPr>
        <w:t>- Monsieur le Maire nous indique qu’il est fort probable que la commune soit dans l’obligation d’installer des bornes de recharge pour véhicule électrique. A suivre.</w:t>
      </w:r>
    </w:p>
    <w:p w14:paraId="61DCE5BB" w14:textId="77777777" w:rsidR="00A63E98" w:rsidRPr="00A63E98" w:rsidRDefault="00A63E98" w:rsidP="00A63E98">
      <w:pPr>
        <w:spacing w:after="0" w:line="240" w:lineRule="auto"/>
        <w:rPr>
          <w:rFonts w:ascii="Book Antiqua" w:hAnsi="Book Antiqua"/>
        </w:rPr>
      </w:pPr>
      <w:r w:rsidRPr="00A63E98">
        <w:rPr>
          <w:rFonts w:ascii="Book Antiqua" w:hAnsi="Book Antiqua"/>
        </w:rPr>
        <w:t>- Boulangerie : le propriétaire de l’ancienne boulangerie a demandé la requalification de son immeuble en immeuble d’habitation, ce qui ne va pas dans le sens d’une réouverture de boulangerie.</w:t>
      </w:r>
    </w:p>
    <w:p w14:paraId="3FFD0B65" w14:textId="77777777" w:rsidR="00A63A74" w:rsidRDefault="00A63A74"/>
    <w:sectPr w:rsidR="00A63A74" w:rsidSect="00FD4C2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04982"/>
    <w:multiLevelType w:val="hybridMultilevel"/>
    <w:tmpl w:val="CF34B0C2"/>
    <w:lvl w:ilvl="0" w:tplc="788614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D1"/>
    <w:rsid w:val="002911D1"/>
    <w:rsid w:val="00735CE7"/>
    <w:rsid w:val="00A63A74"/>
    <w:rsid w:val="00A63E98"/>
    <w:rsid w:val="00FD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601E"/>
  <w15:chartTrackingRefBased/>
  <w15:docId w15:val="{0C94FA50-EDBB-4F3F-89BE-E7293F48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1D1"/>
    <w:pPr>
      <w:spacing w:after="200"/>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uiPriority w:val="99"/>
    <w:unhideWhenUsed/>
    <w:rsid w:val="002911D1"/>
    <w:pPr>
      <w:suppressAutoHyphens/>
      <w:overflowPunct w:val="0"/>
      <w:autoSpaceDE w:val="0"/>
      <w:spacing w:after="0" w:line="240" w:lineRule="auto"/>
      <w:ind w:left="283" w:hanging="283"/>
    </w:pPr>
    <w:rPr>
      <w:rFonts w:ascii="CG Times" w:eastAsia="Times New Roman" w:hAnsi="CG Times" w:cs="Times New Roman"/>
      <w:sz w:val="20"/>
      <w:szCs w:val="20"/>
      <w:lang w:eastAsia="fr-FR"/>
    </w:rPr>
  </w:style>
  <w:style w:type="paragraph" w:customStyle="1" w:styleId="Default">
    <w:name w:val="Default"/>
    <w:rsid w:val="002911D1"/>
    <w:pPr>
      <w:suppressAutoHyphens/>
      <w:autoSpaceDE w:val="0"/>
      <w:spacing w:line="240" w:lineRule="auto"/>
    </w:pPr>
    <w:rPr>
      <w:rFonts w:eastAsia="Arial" w:cs="Times New Roman"/>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2025-05-12T09:37:00Z</dcterms:created>
  <dcterms:modified xsi:type="dcterms:W3CDTF">2025-05-12T09:37:00Z</dcterms:modified>
</cp:coreProperties>
</file>